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2025年交通运输领域重点项目资金第二批用于公路应急抢通项目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2025 年连江县普通国省道（第二批）应急抢通费用，预算工程量：机械清理（溜方）土方5596.23m3、人工清理塌方土方66m3、机械清理（溜方）石方549.55m3。项目里程：0.856km。预算总造价为29.7746万元。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2025 年连江县普通国省道（第二批）应急抢通费用，预算工程量：机械清理（溜方）土方5596.23m3、人工清理塌方土方66m3、机械清理（溜方）石方549.55m3。项目里程：0.856km。预算总造价为29.7746万元。项目按时完成、验收合格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1)成本控制率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1)灾毁点修复率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1)完工项目验收合格率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1)按时完工率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1)重大事故发生数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1)群众满意度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