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2025年政府还贷二级公路取消收费后补助资金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连江G228线4483K+511-4489K+011马鼻浮曦村至村前村滨海风景道绿化提升工程，预算工程量：植乔木402株、地被3781m2、改造油菜花观景台1处、增设 F 型可变情报板2面等，项目里程：5.5km。预算总造价为171.9785万元。连江S207线K283+394-K288+107水毁修复工程，预算工程量：C20砼边沟194m3，C20砼路肩硬化152.7m3，C20砼挡墙5.1m3， C20砼护坡19.5m3，波形护栏16m等，项目里程：4.713km。预算总造价为41.5755万元。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连江G228线4483K+511-4489K+011马鼻浮曦村至村前村滨海风景道绿化提升工程，预算工程量：植乔木402株、地被3781m2、改造油菜花观景台1处、增设 F 型可变情报板2面等，项目里程：5.5km。预算总造价为171.9785万元。连江S207线K283+394-K288+107水毁修复工程，预算工程量：C20砼边沟194m3，C20砼路肩硬化152.7m3，C20砼挡墙5.1m3， C20砼护坡19.5m3，波形护栏16m等，项目里程：4.713km。项目按时完成，验收合格。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1)项目完成进度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1)修复项目完成及时率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