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2025年度成品油价格和税费改革转移支付资金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G228 线 K4555+454-K4557+005 段 、 G104 线K2303+851-K2321+375 段路面出现龟裂、麻面、裂缝、断板等零星路面病害，对路面病害进行修复，提升行车舒适性。直属公路中心2025年国省道路面养护工程54.496W，乌龙江复线桥桥面病害严重，且缺乏桥墩检修平台。H324线乌龙江复线桥路况综合提升工程93.6782W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提升行车舒适性。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1)群众投诉事件数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