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2025年度成品油价格和税费改革转移支付资金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1、S211线K21+947-K23+000和S213线K16+000-K19+000路面修复工193.3442万元</w:t>
        <w:cr/>
        <w:t>2、S308线K206+710-K210+300安保设施精细化提升及边坡灾害防治工程57.2万元</w:t>
        <w:cr/>
        <w:t>3、闽清公路中心2025年桥梁预防及标准化养护工程55.511万元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项目实施后路面PQI值提升，公路安全性能提升。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90.95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1)完成改造面积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平方米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28000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29179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1)按时竣工率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