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2025年度成品油价格和税费改革转移支付资金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优化G228线江田环岛至福清交界处的沿线绿化，提升道路美观度，以及对该段路况进行综合整治，延长道路使用寿命，提升驾驶舒适性和安全性。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完成G228线江田环岛至福清交界处的沿线绿化优化工作，提升道路美观度，以及对该段路况进行综合整治，延长道路使用寿命，提升驾驶舒适性和安全性。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1)项目支出预算控制率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1)项目（工程）验收合格率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1)重大安全事故次数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