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路政补充经费1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财综[2001]789号，按公路损坏赔（补）偿收入统筹20%后安排，30%安排路政补充经费。用于补充使用公路养护事业管理费、公路法规宣传、公路路产路权保护及维护、公路路域整治等公路养护管理开支。榕路财〔2025〕8号 福州市公路事业发展中心关于申请拨付2025年第一期公路赔（补）偿费支出的请示，拨补连江公路中心39.3万元。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完成公路养护事业管理、公路法规宣传、公路路产路权保护及维护、公路路域整治等公路养护管理工作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97.01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