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路政补充经费1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福州市公路事业发展中心[2025]8号文件精神，按实际公路损坏赔（补）偿收入统筹20%安排后，其中50%安排公路设施修复费用，30%用于普通公路路政补充经费开支（公路养护事业管理费、公路法规宣传、公路产权保护和公路路域整治等公路养护管理）。提升公路日常养护与管理水平，提高群众满意度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完成2025年度公路路域整治、国省干线公路养护和公路法宣传工作。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96.79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80.058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1)公路管理事项审批率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1)发现违规非税收入金额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1)特别重大安全生产事故发生率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