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据榕财综[2001]789号，按公路损坏赔（补）偿收入统筹20%后安排，其中50%安排公路设施修复费用，30%安排路政补充经费。提升公路日常养护与管理水平，提高出行群众满意度。																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依据公路日常养护需要，对公路设施进行修缮，提升管养线路路域环境，提高群众出行满意度。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91.28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1)公路管理事项审批率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1)非税收入资金缴交率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1)重大安全生产事故发生次数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