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公路设施修复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专养普通公路设施修复（超限经费）G316 线114K+200-119K+100路况综合提升工程 53.2万元、S308线199K+400-233K+530安保设施精细化提升工程 55.57万元、S213线 13K+600-27K+730安保设施精细化提升工程 37.15万元、S211线 21K+947-31K+380安保设施精细化提升工程 21.97万元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我中心管养G316、S308、S213、S211线沿线路段安保设施完善，提升行车行人通行安全条件。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79.71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1)因环保问题被曝光、通报或受到行政处罚次数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1)公路设施修复项目数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1)项目（工程）验收合格率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1)修复项目完成及时率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