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据榕财综[2001]789号，按公路损坏赔（补）偿收入统筹20%后安排，30%安排路政补充经费。用于补充使用公路养护事业管理费、公路法规宣传、公路路产路权保护及维护、公路路域整治等公路养护管理开支。榕路财〔2025〕8号 福州市公路事业发展中心关于申请拨付2025年第一期公路赔（补）偿费支出的请示拨补罗源10.31万元。榕路财〔2025〕19号 福州市公路事业发展中心关于申请拨付2025年第二期公路赔（补）偿费支出的请示拨补罗源17.04万元。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依法护路，安全运营得到保障。围绕路政许可中心工作，强化各项许可项目及涉路施工监督管理，办结行政许可审批案件，完成涉路许可费用收缴，协议式管理；强化与执法部门联动协作，及时制止破坏公路行为，依法纠正制止各类违章，办理公路赔补偿案件，收缴赔补偿费用。同时，努力提升社会护路理念，通过春运，路政宣传月等专题活动契机，发放各类宣传材料，营造了良好爱路护路氛围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93.77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1)采购宣传物资数量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370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1)物资采购合格率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资金下达较晚，年末无法及时使用。最后一批资金下达时间与资金支付截止时间较近。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年末下达资金不要列入考核。最后一批资金下达时间与资金支付截止时间较近。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