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2025年专项养护工程配套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534线142K+000-143K+000中次差路路况提升工程2.2875万元，G355线26K+408涵洞改扩建工程13.8295万元，2024年省道路面养护工程16.7757万元，2024年国道路面养护工程19.3334万元，永泰公路中心2024年公路交通安全设施提升工程9.7931万元，永泰2024年桥涵隧标准化建设工程14.1080万元，G534线K52+000-K54+590路面修复工程23.4534万元，永泰G355线K37+700-K39+200沥青砼薄层加铺预防性养护工程（二期）1.8662万元，永泰公路中心2025年国省道路面养护工程151.2002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有效提升行车安全性、舒适性，工程质量合格，项目无安全事故，按照上级时间节点完成任务，保障公路通行安全畅通，有效改善道路状况，提供更舒适的行车环境。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km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231.161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1)公路日常养护质量优良率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1)大件运输审批时限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1)普通国省干线二级及以上公路比重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