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2025年专项养护工程配套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为提升罗源公路中心路域环境，实施G228线4448K+526-4459K+540路域环境提升工程，主要工程数量为：现浇C20混凝土修复边沟等。为提升路域环境，计划对路基边沟外侧及边坡进行绿化补植。榕路工〔2025〕188号 申请拨付2025年专项养护工程配套预算资金（第二批）申请补助155.6323万元.榕路工〔2025〕234号 申请拨付2025年公路养护工程配套预算资金（第四批）的请示 申请补助罗源479.5176万元.养护工程配套调整61.120321万元。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提升罗源公路中心路域环境，实施G228线4448K+526-4459K+540路域环境提升工程，主要工程数量为：现浇C20混凝土修复边沟892.59m3等。对溜方边坡等进行修复，提升行车安全。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1)支持2024年桥隧专项养护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1)完工验收通过率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1)工程完工及时率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1)群众投诉件数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