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2025年专项养护工程配套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、申请养护工程配套资金（2025年第一批）S209线K60+181-K60+800及S310线K4+500-K6+100段水泥砼路面修复工程（低标）57.5753万元，福清公路中心2024年省道路面养护工程3.0358万元，福清公路中心2024年国道路面养护工程20.4764万元，福清国省道桥涵标准化提升工程8.0826万元，福清2024国省道桥梁维修工程（二期）17.4921万元，福清G324线58K+900-60K+625路面修复工程19.8734万元。</w:t>
        <w:cr/>
        <w:t>2、根据《福州市公路事业发展中心关于申请拨付2025年专项养护工程配套预算资金（第二批）的请示》（榕路工〔2025〕188 号）资金安排，拨付福清公路事业发展中心1141.1054万元。</w:t>
        <w:cr/>
        <w:t>3、根据《福州市公路事业发展中心关于申请拨付2025年公路养护工程配套预算资金（第三批）的请示》（榕路工〔2025〕227 号）资金安排，拨付福清公路事业发展中心167.4847万元。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2025年17项专项养护工程均已完成并按期通过竣工验收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1)补助县（市）区数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  <w:cr/>
        <w:t/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13.2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1)按时竣工率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8.8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1)重大事故发生次数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  <w:cr/>
        <w:t/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