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2025年交通运输领域专项资金预算用于普通省道项目资金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罗源S207线K197+000-K203+000现状旧中路面存在破碎板、裂缝、板角断裂、错台等多种路面病害。为提升路面技术状况水平。对上述路段进行路段水泥混凝土进行路面修复工程。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提升S207线K197+000-K203+000路面技术状况水平，提升路域环境及行驶舒适性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13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1)项目支出符合概算批复的标准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1)支持普通省道路面改造（公里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1)普通省道优良路率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2)普通省道一、二类桥梁数量</w:t>
        <w:cr/>
        <w:t>占普通省道桥梁总数比例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3)资金使用合规性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4)完工项目验收合格率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1)对经济发展的促进作用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1)交通建设符合环评审批要求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 xml:space="preserve">2)新改建公路项目适应未来 </w:t>
        <w:cr/>
        <w:t>一定时期内交通需求要求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1)改善通行服务水平群众满意度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