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2025年交通运输领域专项资金预算用于普通省道项目资金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用于新建省道多功能交调站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提升国省道交通量调查能力，反映公路实际运行状况。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1)12345投诉件数量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