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2025年政府还贷二级公路取消收费后补助资金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为推进罗源G228线景观建设，对G228线K4445+161-K4482+568路段绿化节点进行完善及对路段沿线绿化进行补植等工作。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绿化里程11.014km，整理绿化用地7016m2，银叶金合欢820株、美花红千层1038株、翠芦莉1578m2、兰引三号5438m2、爬山虎15099株等。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1)综合提升工程（公里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公里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0.5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11.014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1)实施路段技术状况水平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等级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1)投资计划完成率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1)对经济发展的促进作用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1)基本公共服务水平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2)公路安全水平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1)社会公众满意度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