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及时对专养公路损坏的交安设施进行修复，保障公路行车通行安全。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更换伸缩缝12.22m，修复栏杆1239.3m，修复沥青路面1418.125m2。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