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路政补充经费1.85万元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有效提升行车安全性、舒适性，工程质量合格，项目无安全事故，按照上级时间节点完成任务，保障公路通行安全畅通，有效改善道路状况，提供更舒适的行车环境。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1)公路日常养护里程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km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231.161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1)路面病害有效修补率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97.12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1)大件运输审批时限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1)普通国省干线二级及以上公路比重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31.48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