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2025年专项养护工程配套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根据上级下达2025年成品油价格和税费改革转移支付资金和我中心2025年部门预算安排情况，我中心2025年度养护工程配套预算资金1378.5007万元。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进一步对国省道交通指路标志进行优化完善。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97.38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1)群众投诉事件数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