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2024年政府还贷二级公路取消收费后补助资金（第二批）（2024结转）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修复路面破损，提升路面通行舒适性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92.99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