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年终结转结余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保障公路中心日常业务开展，促进公路高质量发展。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1)补助县（市）区数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1)发现违规非税收入金额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1)特别重大安全生产事故发生率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