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湾边和橘园洲特大桥船舶碰撞桥梁隐患治理项目</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橘园洲特大桥及湾边特大桥均属福银高速公路福州连接线，其中橘园洲特大桥横跨福州仓山区建新镇与闽侯县上街镇之间的乌龙江上，桥梁全长2262.4米；湾边特大桥位于福州市西南区域，跨越闽江南港，桥梁全长1874米；本项目含湾边及橘园洲特大桥船舶碰撞桥梁隐患治理、部分桥墩安装防撞设施、全桥安装防撞预警系统。</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目前该项目已按合同完成所有工程量，缺陷责任期已满，于2023年8月29日通过竣工验收；于2025年12月23日通过福州市财政局行文批复关于财政投资评审中心完成该项目设计总承包结算评审并出具财评报告（榕财投评【2025】1161号）。</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8</w:t>
      </w:r>
      <w:r>
        <w:rPr>
          <w:rFonts w:ascii="仿宋_GB2312" w:hAnsi="仿宋_GB2312" w:cs="仿宋_GB2312" w:eastAsia="仿宋_GB2312"/>
          <w:sz w:val="32"/>
        </w:rPr>
        <w:t>个，实际完成</w:t>
      </w:r>
      <w:r>
        <w:rPr>
          <w:rFonts w:ascii="仿宋_GB2312" w:hAnsi="仿宋_GB2312" w:cs="仿宋_GB2312" w:eastAsia="仿宋_GB2312"/>
          <w:sz w:val="32"/>
        </w:rPr>
        <w:t>8</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1)财政投入总数</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226</w:t>
      </w:r>
      <w:r>
        <w:rPr>
          <w:rFonts w:ascii="仿宋" w:hAnsi="仿宋" w:cs="仿宋" w:eastAsia="仿宋"/>
          <w:sz w:val="32"/>
        </w:rPr>
        <w:t>，完成值</w:t>
      </w:r>
      <w:r>
        <w:rPr>
          <w:rFonts w:ascii="仿宋" w:hAnsi="仿宋" w:cs="仿宋" w:eastAsia="仿宋"/>
          <w:sz w:val="32"/>
        </w:rPr>
        <w:t>95.432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1)增设浮动式柔性钢套箱防撞设施</w:t>
      </w:r>
      <w:r>
        <w:rPr>
          <w:rFonts w:ascii="仿宋" w:hAnsi="仿宋" w:cs="仿宋" w:eastAsia="仿宋"/>
          <w:sz w:val="32"/>
        </w:rPr>
        <w:t>(</w:t>
      </w:r>
      <w:r>
        <w:rPr>
          <w:rFonts w:ascii="仿宋" w:hAnsi="仿宋" w:cs="仿宋" w:eastAsia="仿宋"/>
          <w:sz w:val="32"/>
        </w:rPr>
        <w:t>套</w:t>
        <w:cr/>
        <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2</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2)增设钢覆复合材料防撞设施</w:t>
      </w:r>
      <w:r>
        <w:rPr>
          <w:rFonts w:ascii="仿宋" w:hAnsi="仿宋" w:cs="仿宋" w:eastAsia="仿宋"/>
          <w:sz w:val="32"/>
        </w:rPr>
        <w:t>(</w:t>
      </w:r>
      <w:r>
        <w:rPr>
          <w:rFonts w:ascii="仿宋" w:hAnsi="仿宋" w:cs="仿宋" w:eastAsia="仿宋"/>
          <w:sz w:val="32"/>
        </w:rPr>
        <w:t>套</w:t>
      </w:r>
      <w:r>
        <w:rPr>
          <w:rFonts w:ascii="仿宋" w:hAnsi="仿宋" w:cs="仿宋" w:eastAsia="仿宋"/>
          <w:sz w:val="32"/>
        </w:rPr>
        <w:t>)，目标值</w:t>
      </w:r>
      <w:r>
        <w:rPr>
          <w:rFonts w:ascii="仿宋" w:hAnsi="仿宋" w:cs="仿宋" w:eastAsia="仿宋"/>
          <w:sz w:val="32"/>
        </w:rPr>
        <w:t>8</w:t>
      </w:r>
      <w:r>
        <w:rPr>
          <w:rFonts w:ascii="仿宋" w:hAnsi="仿宋" w:cs="仿宋" w:eastAsia="仿宋"/>
          <w:sz w:val="32"/>
        </w:rPr>
        <w:t>，完成值</w:t>
      </w:r>
      <w:r>
        <w:rPr>
          <w:rFonts w:ascii="仿宋" w:hAnsi="仿宋" w:cs="仿宋" w:eastAsia="仿宋"/>
          <w:sz w:val="32"/>
        </w:rPr>
        <w:t>8</w:t>
      </w:r>
      <w:r>
        <w:rPr>
          <w:rFonts w:ascii="仿宋" w:hAnsi="仿宋" w:cs="仿宋" w:eastAsia="仿宋"/>
          <w:sz w:val="32"/>
        </w:rPr>
        <w:t>，分值</w:t>
      </w:r>
      <w:r>
        <w:rPr>
          <w:rFonts w:ascii="仿宋" w:hAnsi="仿宋" w:cs="仿宋" w:eastAsia="仿宋"/>
          <w:sz w:val="32"/>
        </w:rPr>
        <w:t>8</w:t>
      </w:r>
      <w:r>
        <w:rPr>
          <w:rFonts w:ascii="仿宋" w:hAnsi="仿宋" w:cs="仿宋" w:eastAsia="仿宋"/>
          <w:sz w:val="32"/>
        </w:rPr>
        <w:t>，得分</w:t>
      </w:r>
      <w:r>
        <w:rPr>
          <w:rFonts w:ascii="仿宋" w:hAnsi="仿宋" w:cs="仿宋" w:eastAsia="仿宋"/>
          <w:sz w:val="32"/>
        </w:rPr>
        <w:t>8</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3)增设全桥安装主动预警系统</w:t>
        <w:cr/>
        <w:t>、</w:t>
      </w:r>
      <w:r>
        <w:rPr>
          <w:rFonts w:ascii="仿宋" w:hAnsi="仿宋" w:cs="仿宋" w:eastAsia="仿宋"/>
          <w:sz w:val="32"/>
        </w:rPr>
        <w:t>(</w:t>
      </w:r>
      <w:r>
        <w:rPr>
          <w:rFonts w:ascii="仿宋" w:hAnsi="仿宋" w:cs="仿宋" w:eastAsia="仿宋"/>
          <w:sz w:val="32"/>
        </w:rPr>
        <w:t>套</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1)目标完成及时率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1)安全生产事故件数</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1)结算对象满意率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项目前期未采用资金监管系统，对造价、变更、中间计量支付、绩效等不能同步进行线上留痕，动态预警。</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建议项目初期便采用资金监管系统，实行进度、资金、绩效同步管控；将工程变更、现场签证、价款调整实时录入系统，动态预警超支风险。</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