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公路养护业务支出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针对中心管养的G228线、S209线、G316线等线路进行日常养护，定期开展路面保洁、桥隧养护、边沟清理、整理边坡坡面、修剪坡面杂草、清除坡面杂物、修补路基缺口及坡面冲沟、路树修剪、雨水井清理等工作。同时还需对新接养管养的G316线等线路进行日常养护，定期开展路面保洁、桥梁隧道养护、修补路基缺口及桥梁泄水孔清理等工作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完成2025年度长乐中心管养线路公路日常养护工作，确保公路设施完整，路面干净整洁。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99.99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99.91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1)日常养护巡查次数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1)公路优良路率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1)工程项目完成及时率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