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新增接养公路养护业务支出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满足水泥及沥青路面养护及应急抢险需求，进行路基路面、桥涵隧、交安设施的日常养护及路面病害的预防性及修复养护等。新增接养公路日常养护经费1715.5365万。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新增接养公路路面状况佳、保洁成效好、绿化成活率高、桥涵隧安全稳定，日常养护成效良好，应急抢险高效。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8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8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1)道路保洁投入环卫机械设备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台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1)保洁面积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万平方米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40.44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1060.891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2)绿化养护面积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万平方米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3.3309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46.876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1)保洁标准达标率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91.9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2)绿化标准达标率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91.9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1)完结时效性(完结及时率)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1)吸引就业人员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1)企业投诉数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