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围绕公路中心工作，加快推进公路行业建设，持续加大养护管理和公路保护力度，不断提升公路行业监管水平，着力提高公路综合能力，努力加强公路文化和行业文明建设，促进年度公路行业管理各项目标任务能够较好完成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全年共推动实施专项工程11项，全年专项工程累计完成投资2800万元。其中实施完成4项迎国评专项工程，累计投入1500万元。持续深化市场化养护模式探索实践，优化管养格局升级。加强路产路权保护工作，受理大件运输案件535起，受理各类涉路施工行政许可案件8起，妥善处理路损赔偿案件3起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1)采购办公电脑、空调等物资数量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1)物资采购合格率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1)制作公益视频数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