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榕财综[2001]789号，按公路损坏赔（补）偿收入统筹20%后安排，其中50%安排公路设施修复费用，30%安排路政补充经费。主要用于补充公路养护事业管理费、公路法规宣传、公路路产路权保护及维护、公路路域环境整治等公路养护管理开支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完成连江地区国省道公路养护事业管理、公路法规宣传、公路路产路权保护及维护、公路路域环境整治等工作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1)公路管理事项审批率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1)发现违规非税收入金额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1)特别重大安全生产事故发生率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