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市补路政补充经费10万元，第一期3.32万元，追加第二期2.75万元。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有效提升行车安全性、舒适性，工程质量合格，项目无安全事故，按照上级时间节点完成任务，保障公路通行安全畅通，有效改善道路状况，提供更舒适的行车环境。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1)公路日常养护里程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公里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231.161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1)公路日常养护质量优良率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1)大件运输审批时限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1)普通国省干线二级及以上公路比重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31.48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