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据榕财综[2001]789号，按公路损坏赔（补）偿收入统筹20%后安排，其中50%安排公路设施修复费用，30%安排路政补充经费。提升公路日常养护与管理水平，提高出行群众满意度。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完成边沟修建，桥梁修复等工作，确保沿线车辆行车安全。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1)公路管理事项审批率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1)非税收入资金缴交率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1)重大安全生产事故发生次数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