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路政补充经费（2024结转）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根据榕财综[2001]789号文件，按实际公路损坏赔（补）偿收入的30%用于普通公路路政补充经费开支。普通公路路政补充经费可使用于公路养护事业管理费、公路法规宣传、公路路产路权保护及维护、公路路域整治等公路养护管理开支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完成2025年度公路路域整治、国省干线公路养护和公路法宣传工作。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1)配套资金到位率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1)公路管理事项审批率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1)发现违规非税收入金额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1)按时完成率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1)特别重大安全生产事故发生率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1)社会公众满意度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