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路政补充经费（2024结转）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据榕财综[2001]789号，按公路损坏赔（补）偿收入统筹20%后安排，30%安排路政补充经费。用于补充使用公路养护事业管理费、公路法规宣传、公路路产路权保护及维护、公路路域整治等公路养护管理开支。2023年第二期公路赔（补）偿费 罗源8.35万元、2024年第一期罗源2.82万元。榕路财〔2024〕24号 福州市公路事业发展中心关于申请拨付2024年第二期公路赔（补）偿费支出的请示3.94万元。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依法护路，安全运营得到保障。围绕路政许可中心工作，强化各项许可项目及涉路施工监督管理，办结行政许可审批案件，完成涉路许可费用收缴，协议式管理；强化与执法部门联动协作，及时制止破坏公路行为，依法纠正制止各类违章，办理公路赔补偿案件，收缴赔补偿费用。同时，努力提升社会护路理念，通过春运，路政宣传月等专题活动契机，发放各类宣传材料，营造了良好爱路护路氛围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1)配套资金到位率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1)采购宣传物资数量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份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370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90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1)大件运输审批时限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天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7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1)重大事故发生数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1)群众投诉件数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件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