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建指【2023】21号文，按公路损坏赔（补）偿收入统筹20%后安排，其中50%安排公路设施修复费用，30%安排路政补充经费，用于补充使用公路养护事业管理费、公路法规宣传、公路产权保护和公路路域整治等公路养护管理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开展路政宣传月、施划路政标语等路政宣传工作，使社会满意度显著提升；开展路域整治工作，清理非公路交通标志、占道堆放等违法行为，提升路域环境。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1)受理路政行政许可案件数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