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公路养护业务支出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确保我中心管养国省道公路路况良好，项目主要从事路基、路面、桥梁涵洞等日常养护及零星保养维修工作，保障辖区路段安全畅通。用于公路日常养护、设备购置。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完成2025年度福清市内国省干线的日常养护和安全生产工作。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1)安全生产经费投入数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19.91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25.567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1)采购货物数量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个、件、瓶、台、件、辆、套等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1)公路日常养护质量优良率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1)工程完成及时率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1)路面PQI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数值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93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93.46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1)公路项目沿线群众及行车驾驶员的满意率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