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公路行业管理业务专项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满足物业管理、文明创建、党建、工会、培训、安全、扫黑除恶等资金需求，创建文明安全工作环境，满足行业管理需求。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有效满足了中心物业管理、文明创建、党建、工会、培训、安全、扫黑除恶资金需求，较好的完成了各项工作，优化了单位文明安全工作环境。同时按规定开支各项经费，满足行业管理需求。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1)项目支出预算控制率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1)采购制作宣传品数量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370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1)物资采购合格率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1)大件运输审批时限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天、小时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1)宣传报道阅读量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万人次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0.01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0.239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