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行业管理用于工作人员日常办公设备、办公用品等购置，办公大楼水电、网络费用等支出、文明创建、党建宣传、党建培训费用支出，安全宣传、扫黑除恶等方面支出。工作人员教育培训支出。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保障本单位日常工作正常开展，提升办公效率；2.党建与文明创建稳步推进，单位整体凝聚力得到明显提升；3.安全宣传与治理到位，平安建设、扫黑除恶工作有效落实；4.干部职工教育培训常态化开展，整体素质和业务能力逐步提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1)组织宣传活动次数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1)制作文明宣传手册数量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