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公路养护业务支出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满足水泥及沥青路面养护及应急抢险需求，进行路基路面、桥涵、交安设施的日常养护及路面病害的预防性及修复养护等。根据养护工程效果，提出水泥混凝土路面病害修复技术工艺与材料技术标准，提升路面养护实施效果。</w:t>
        <w:cr/>
        <w:t>机具购置32万，日常养护867.1008万，科研技改10万，2025年外场监控费用17.80273万。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提升辖区管养的国省干线绿化率、整洁率。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1)公路日常养护里程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43.358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43.358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1)公路优良路率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1)桥梁健康监测数据上报及时率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