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用以加强单位的应急处置能力，提升管理效能，主要包括机关大楼水电及电信费、办公设备购置费、办公费及办公设备维护费、文明创建、党建宣传等开支。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保障了单位办公正常运转。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1)发布宣传推广信息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1)采购物资验收合格率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例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